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CONFLICTS-OF-INTEREST SCREENING CHECKLIST</w:t>
      </w:r>
    </w:p>
    <w:p>
      <w:pPr>
        <w:spacing w:after="80"/>
      </w:pPr>
      <w:r>
        <w:rPr>
          <w:b w:val="0"/>
          <w:i w:val="0"/>
          <w:sz w:val="21"/>
        </w:rPr>
        <w:t>Complete this checklist before accepting any new matter. All fields must be reviewed and the disposition recorded before work begins.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New Matter Name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File / Reference No.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Intake Date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Assigned Practitioner</w:t>
            </w:r>
          </w:p>
        </w:tc>
        <w:tc>
          <w:tcPr>
            <w:tcW w:type="dxa" w:w="6336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1. Parties and Representatives</w:t>
      </w:r>
    </w:p>
    <w:p>
      <w:pPr>
        <w:spacing w:after="80"/>
      </w:pPr>
      <w:r>
        <w:rPr>
          <w:b w:val="0"/>
          <w:i w:val="0"/>
          <w:sz w:val="21"/>
        </w:rPr>
        <w:t>List every party and each known representative or attorney.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744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Party / Entity</w:t>
            </w:r>
          </w:p>
        </w:tc>
        <w:tc>
          <w:tcPr>
            <w:tcW w:type="dxa" w:w="2304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Role</w:t>
            </w:r>
          </w:p>
        </w:tc>
        <w:tc>
          <w:tcPr>
            <w:tcW w:type="dxa" w:w="345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Representative / Counsel</w:t>
            </w:r>
          </w:p>
        </w:tc>
      </w:tr>
      <w:tr>
        <w:tc>
          <w:tcPr>
            <w:tcW w:type="dxa" w:w="3744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744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744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744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744"/>
          </w:tcPr>
          <w:p>
            <w:r>
              <w:rPr>
                <w:sz w:val="20"/>
              </w:rPr>
            </w:r>
          </w:p>
        </w:tc>
        <w:tc>
          <w:tcPr>
            <w:tcW w:type="dxa" w:w="2304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2. Related Entities</w:t>
      </w:r>
    </w:p>
    <w:p>
      <w:pPr>
        <w:spacing w:after="80"/>
      </w:pPr>
      <w:r>
        <w:rPr>
          <w:b w:val="0"/>
          <w:i w:val="0"/>
          <w:sz w:val="21"/>
        </w:rPr>
        <w:t>Identify affiliated companies, subsidiaries, parents, or associated individuals connected to any party.</w:t>
      </w:r>
    </w:p>
    <w:p>
      <w:pPr>
        <w:spacing w:after="120"/>
      </w:pPr>
      <w:r>
        <w:rPr>
          <w:b/>
          <w:sz w:val="21"/>
        </w:rPr>
        <w:t xml:space="preserve">Related entities:  </w:t>
      </w:r>
      <w:r>
        <w:rPr>
          <w:color w:val="5A5957"/>
          <w:sz w:val="21"/>
        </w:rPr>
        <w:t>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3. Screening Search Fields</w:t>
      </w:r>
    </w:p>
    <w:p>
      <w:pPr>
        <w:spacing w:after="80"/>
      </w:pPr>
      <w:r>
        <w:rPr>
          <w:b w:val="0"/>
          <w:i w:val="0"/>
          <w:sz w:val="21"/>
        </w:rPr>
        <w:t>Search internal records for each item and mark the result.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Prior representation of any party by KCS or staff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Adverse interest to a current or former client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Personal relationship between staff and any party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Business or financial relationship with any party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Staff conflicts check completed against internal client list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Related-entity name search completed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4. Notes on Any Match Found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5. Disposition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Clear: no conflict identified; matter may proceed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Escalate: refer to supervisor for review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Waive: conflict identified; informed written waiver obtained and attached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Reviewer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Supervisor (if escalated)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