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0C4E54"/>
          <w:sz w:val="36"/>
        </w:rPr>
        <w:t>KING CONFLICT SOLUTIONS, LLC</w:t>
      </w:r>
    </w:p>
    <w:p>
      <w:pPr>
        <w:spacing w:after="40"/>
        <w:jc w:val="center"/>
      </w:pPr>
      <w:r>
        <w:rPr>
          <w:i/>
          <w:color w:val="5A5957"/>
          <w:sz w:val="21"/>
        </w:rPr>
        <w:t>Fair · Transparent · Honest · Affordable</w:t>
      </w:r>
    </w:p>
    <w:p>
      <w:pPr>
        <w:spacing w:after="80"/>
        <w:jc w:val="center"/>
      </w:pPr>
      <w:r>
        <w:rPr>
          <w:color w:val="5A5957"/>
          <w:sz w:val="17"/>
        </w:rPr>
        <w:t>kingconflictsolutions.com · (843) 906-1787 · KingConflictSolutions@gmail.com · EST. 2025</w:t>
      </w:r>
    </w:p>
    <w:p>
      <w:pPr>
        <w:pBdr>
          <w:bottom w:val="single" w:sz="6" w:space="1" w:color="0C4E54"/>
        </w:pBdr>
        <w:spacing w:after="80" w:before="0"/>
      </w:pPr>
    </w:p>
    <w:p>
      <w:pPr>
        <w:spacing w:after="160"/>
        <w:jc w:val="center"/>
      </w:pPr>
      <w:r>
        <w:rPr>
          <w:b/>
          <w:color w:val="A12C7B"/>
          <w:sz w:val="18"/>
        </w:rPr>
        <w:t>CONFIDENTIAL — For Internal Staff Use</w:t>
      </w:r>
    </w:p>
    <w:p>
      <w:pPr>
        <w:spacing w:after="200"/>
        <w:jc w:val="center"/>
      </w:pPr>
      <w:r>
        <w:rPr>
          <w:b/>
          <w:color w:val="28251D"/>
          <w:sz w:val="28"/>
        </w:rPr>
        <w:t>WORKPLACE INVESTIGATION ENGAGEMENT</w:t>
      </w:r>
    </w:p>
    <w:p>
      <w:pPr>
        <w:spacing w:after="80"/>
      </w:pPr>
      <w:r>
        <w:rPr>
          <w:b w:val="0"/>
          <w:i w:val="0"/>
          <w:sz w:val="21"/>
        </w:rPr>
        <w:t>This form documents the engagement of King Conflict Solutions, LLC to conduct a neutral workplace investigation and defines its scope, process, and safeguards.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Requesting Organization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Requesting Official (name / title)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Investigation File No.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Date Requested</w:t>
            </w:r>
          </w:p>
        </w:tc>
        <w:tc>
          <w:tcPr>
            <w:tcW w:type="dxa" w:w="5760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1. Scope and Allegations</w:t>
      </w:r>
    </w:p>
    <w:p>
      <w:pPr>
        <w:spacing w:after="80"/>
      </w:pPr>
      <w:r>
        <w:rPr>
          <w:b w:val="0"/>
          <w:i w:val="0"/>
          <w:sz w:val="21"/>
        </w:rPr>
        <w:t>Describe the allegations and the specific questions the investigation must answer.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2. Reporting Chain</w:t>
      </w:r>
    </w:p>
    <w:p>
      <w:pPr>
        <w:spacing w:after="80"/>
      </w:pPr>
      <w:r>
        <w:rPr>
          <w:b w:val="0"/>
          <w:i w:val="0"/>
          <w:sz w:val="21"/>
        </w:rPr>
        <w:t>Identify who the investigator reports to and who receives the findings.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Investigation reports to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Findings delivered to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Human Resources contact</w:t>
            </w:r>
          </w:p>
        </w:tc>
        <w:tc>
          <w:tcPr>
            <w:tcW w:type="dxa" w:w="5760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3. Neutrality Statement</w:t>
      </w:r>
    </w:p>
    <w:p>
      <w:pPr>
        <w:spacing w:after="80"/>
      </w:pPr>
      <w:r>
        <w:rPr>
          <w:b w:val="0"/>
          <w:i w:val="0"/>
          <w:sz w:val="21"/>
        </w:rPr>
        <w:t>The investigator serves as an independent, neutral fact-finder. The investigator has no stake in the outcome, reaches conclusions based on the evidence gathered, and applies the standard of a preponderance of the evidence unless directed otherwise in writing.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4. Witness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73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Witness Name</w:t>
            </w:r>
          </w:p>
        </w:tc>
        <w:tc>
          <w:tcPr>
            <w:tcW w:type="dxa" w:w="2304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Role / Title</w:t>
            </w:r>
          </w:p>
        </w:tc>
        <w:tc>
          <w:tcPr>
            <w:tcW w:type="dxa" w:w="273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Relevance</w:t>
            </w:r>
          </w:p>
        </w:tc>
        <w:tc>
          <w:tcPr>
            <w:tcW w:type="dxa" w:w="2304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Contact</w:t>
            </w:r>
          </w:p>
        </w:tc>
      </w:tr>
      <w:tr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2736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5. Document and Evidence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4320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Item / Document</w:t>
            </w:r>
          </w:p>
        </w:tc>
        <w:tc>
          <w:tcPr>
            <w:tcW w:type="dxa" w:w="2880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Source</w:t>
            </w:r>
          </w:p>
        </w:tc>
        <w:tc>
          <w:tcPr>
            <w:tcW w:type="dxa" w:w="2304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Date Received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6. Reporting Format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Written report with findings of fact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Summary memorandum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Oral briefing followed by written summary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Findings only (no recommendations) unless requested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7. Confidentiality and Non-Retaliation</w:t>
      </w:r>
    </w:p>
    <w:p>
      <w:pPr>
        <w:spacing w:after="80"/>
      </w:pPr>
      <w:r>
        <w:rPr>
          <w:b w:val="0"/>
          <w:i w:val="0"/>
          <w:sz w:val="21"/>
        </w:rPr>
        <w:t>Investigation information is shared only on a need-to-know basis. Retaliation against any participant is prohibited. All participants will be advised of the non-retaliation policy at the start of each interview.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8. Records Retention</w:t>
      </w:r>
    </w:p>
    <w:p>
      <w:pPr>
        <w:spacing w:after="80"/>
      </w:pPr>
      <w:r>
        <w:rPr>
          <w:b w:val="0"/>
          <w:i w:val="0"/>
          <w:sz w:val="21"/>
        </w:rPr>
        <w:t>Investigation records are retained for __________ years in a secure file, after which they are disposed of under the organization records policy.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Requesting Official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KCS Investigator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p>
      <w:pPr>
        <w:spacing w:after="80"/>
      </w:pPr>
    </w:p>
    <w:p>
      <w:pPr>
        <w:jc w:val="center"/>
      </w:pPr>
      <w:r>
        <w:rPr>
          <w:i/>
          <w:color w:val="5A5957"/>
          <w:sz w:val="15"/>
        </w:rPr>
        <w:t>King Conflict Solutions, LLC  ·  CONFIDENTIAL — For Internal Staff Use  ·  Retain per firm records policy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